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FC4" w14:textId="77777777" w:rsidR="004D42EF" w:rsidRPr="004D42EF" w:rsidRDefault="004D42EF" w:rsidP="004D42EF">
      <w:pPr>
        <w:pStyle w:val="Textoindependiente"/>
        <w:spacing w:before="2"/>
        <w:rPr>
          <w:rFonts w:cstheme="minorHAnsi"/>
          <w:sz w:val="18"/>
          <w:szCs w:val="18"/>
        </w:rPr>
      </w:pPr>
    </w:p>
    <w:p w14:paraId="5DD9B4A6" w14:textId="76218D48" w:rsidR="008C1526" w:rsidRPr="008C1526" w:rsidRDefault="008C1526" w:rsidP="008C1526">
      <w:pPr>
        <w:pStyle w:val="Ttulo4"/>
        <w:spacing w:before="360" w:after="120" w:line="280" w:lineRule="exact"/>
        <w:rPr>
          <w:rFonts w:ascii="Arial" w:hAnsi="Arial" w:cs="Arial"/>
          <w:color w:val="FFC000"/>
          <w:sz w:val="20"/>
          <w:szCs w:val="20"/>
        </w:rPr>
      </w:pPr>
      <w:r w:rsidRPr="008C1526">
        <w:rPr>
          <w:rFonts w:ascii="Arial" w:hAnsi="Arial" w:cs="Arial"/>
          <w:color w:val="FFC000"/>
          <w:sz w:val="20"/>
          <w:szCs w:val="20"/>
        </w:rPr>
        <w:t>INFORMACIÓN BÁSICA DE FINANCIACIÓN 2023</w:t>
      </w:r>
    </w:p>
    <w:p w14:paraId="584FCD29" w14:textId="1D3037CF" w:rsidR="008C1526" w:rsidRPr="008C1526" w:rsidRDefault="008C1526" w:rsidP="008C1526">
      <w:pPr>
        <w:pStyle w:val="Ttulo4"/>
        <w:spacing w:before="360" w:after="120" w:line="280" w:lineRule="exact"/>
        <w:rPr>
          <w:rFonts w:ascii="Arial" w:eastAsiaTheme="minorHAnsi" w:hAnsi="Arial" w:cs="Arial"/>
          <w:b/>
          <w:bCs/>
          <w:iCs w:val="0"/>
          <w:color w:val="auto"/>
          <w:sz w:val="20"/>
          <w:szCs w:val="20"/>
        </w:rPr>
      </w:pPr>
      <w:r w:rsidRPr="008C1526">
        <w:rPr>
          <w:rFonts w:ascii="Arial" w:eastAsiaTheme="minorHAnsi" w:hAnsi="Arial" w:cs="Arial"/>
          <w:b/>
          <w:bCs/>
          <w:iCs w:val="0"/>
          <w:color w:val="auto"/>
          <w:sz w:val="20"/>
          <w:szCs w:val="20"/>
        </w:rPr>
        <w:t xml:space="preserve">5.  ACTIVOS FINANCIEROS </w:t>
      </w:r>
    </w:p>
    <w:p w14:paraId="087E8E84" w14:textId="77777777" w:rsidR="008C1526" w:rsidRPr="00C56E4C" w:rsidRDefault="008C1526" w:rsidP="008C152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El detalle de activos financieros a </w:t>
      </w:r>
      <w:r>
        <w:rPr>
          <w:rFonts w:ascii="Arial" w:hAnsi="Arial" w:cs="Arial"/>
          <w:sz w:val="20"/>
          <w:szCs w:val="20"/>
        </w:rPr>
        <w:t xml:space="preserve">largo y </w:t>
      </w:r>
      <w:r w:rsidRPr="00F80EBA">
        <w:rPr>
          <w:rFonts w:ascii="Arial" w:hAnsi="Arial" w:cs="Arial"/>
          <w:sz w:val="20"/>
          <w:szCs w:val="20"/>
          <w:u w:val="single"/>
        </w:rPr>
        <w:t>corto plazo</w:t>
      </w:r>
      <w:r w:rsidRPr="00C56E4C">
        <w:rPr>
          <w:rFonts w:ascii="Arial" w:hAnsi="Arial" w:cs="Arial"/>
          <w:sz w:val="20"/>
          <w:szCs w:val="20"/>
        </w:rPr>
        <w:t xml:space="preserve"> a 31 de diciembre de </w:t>
      </w:r>
      <w:r>
        <w:rPr>
          <w:rFonts w:ascii="Arial" w:hAnsi="Arial" w:cs="Arial"/>
          <w:sz w:val="20"/>
          <w:szCs w:val="20"/>
        </w:rPr>
        <w:t>2023</w:t>
      </w:r>
      <w:r w:rsidRPr="00C56E4C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2022</w:t>
      </w:r>
      <w:r w:rsidRPr="00C56E4C">
        <w:rPr>
          <w:rFonts w:ascii="Arial" w:hAnsi="Arial" w:cs="Arial"/>
          <w:sz w:val="20"/>
          <w:szCs w:val="20"/>
        </w:rPr>
        <w:t>, salvo inversiones en el patrimonio de empresas del grupo, multigrupo y asociadas, es el siguiente,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22"/>
        <w:gridCol w:w="1769"/>
        <w:gridCol w:w="1769"/>
      </w:tblGrid>
      <w:tr w:rsidR="008C1526" w14:paraId="4643533A" w14:textId="77777777" w:rsidTr="00292F75">
        <w:trPr>
          <w:trHeight w:val="283"/>
          <w:jc w:val="center"/>
        </w:trPr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7A2E11A7" w14:textId="77777777" w:rsidR="008C1526" w:rsidRDefault="008C1526" w:rsidP="00292F7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Créditos, derivados y otros a largo plazo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54681A3E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8C3AFFD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15ADD72F" w14:textId="77777777" w:rsidTr="00292F75">
        <w:trPr>
          <w:trHeight w:val="283"/>
          <w:jc w:val="center"/>
        </w:trPr>
        <w:tc>
          <w:tcPr>
            <w:tcW w:w="3026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FDCBB81" w14:textId="77777777" w:rsidR="008C1526" w:rsidRDefault="008C1526" w:rsidP="00292F75">
            <w:pPr>
              <w:keepNext/>
              <w:keepLines/>
              <w:widowControl w:val="0"/>
              <w:spacing w:after="0"/>
              <w:ind w:left="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Activos financieros a coste amortizado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1F8C3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8133D2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C1526" w14:paraId="65E8FA0B" w14:textId="77777777" w:rsidTr="00292F75">
        <w:trPr>
          <w:trHeight w:val="283"/>
          <w:jc w:val="center"/>
        </w:trPr>
        <w:tc>
          <w:tcPr>
            <w:tcW w:w="3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924DC06" w14:textId="77777777" w:rsidR="008C1526" w:rsidRDefault="008C1526" w:rsidP="00292F7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Créditos, derivados y otros a corto plazo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2619A3A1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0A71BF9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419DD36F" w14:textId="77777777" w:rsidTr="00292F75">
        <w:trPr>
          <w:trHeight w:val="283"/>
          <w:jc w:val="center"/>
        </w:trPr>
        <w:tc>
          <w:tcPr>
            <w:tcW w:w="3026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5CD68FD" w14:textId="77777777" w:rsidR="008C1526" w:rsidRDefault="008C1526" w:rsidP="00292F75">
            <w:pPr>
              <w:keepNext/>
              <w:keepLines/>
              <w:widowControl w:val="0"/>
              <w:spacing w:after="0"/>
              <w:ind w:left="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Efectivo y otros activos líquidos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18874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1.744.081,52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1C9C1E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1.672.251,91</w:t>
            </w:r>
          </w:p>
        </w:tc>
      </w:tr>
      <w:tr w:rsidR="008C1526" w14:paraId="5309F078" w14:textId="77777777" w:rsidTr="00292F75">
        <w:trPr>
          <w:trHeight w:val="283"/>
          <w:jc w:val="center"/>
        </w:trPr>
        <w:tc>
          <w:tcPr>
            <w:tcW w:w="3026" w:type="pct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EC52D6E" w14:textId="77777777" w:rsidR="008C1526" w:rsidRDefault="008C1526" w:rsidP="00292F75">
            <w:pPr>
              <w:keepNext/>
              <w:keepLines/>
              <w:widowControl w:val="0"/>
              <w:spacing w:after="0"/>
              <w:ind w:left="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Activos financieros a coste amortizado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D6CADAD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2.780.128,55</w:t>
            </w:r>
          </w:p>
        </w:tc>
        <w:tc>
          <w:tcPr>
            <w:tcW w:w="98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D4FA215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1.714.468,86</w:t>
            </w:r>
          </w:p>
        </w:tc>
      </w:tr>
      <w:tr w:rsidR="008C1526" w14:paraId="7FC067F2" w14:textId="77777777" w:rsidTr="00292F75">
        <w:trPr>
          <w:trHeight w:val="283"/>
          <w:jc w:val="center"/>
        </w:trPr>
        <w:tc>
          <w:tcPr>
            <w:tcW w:w="3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14:paraId="3F5B1A90" w14:textId="77777777" w:rsidR="008C1526" w:rsidRDefault="008C1526" w:rsidP="00292F75">
            <w:pPr>
              <w:keepNext/>
              <w:keepLines/>
              <w:widowControl w:val="0"/>
              <w:spacing w:after="0"/>
              <w:ind w:left="7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14:paraId="2516E087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4.529.610,07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14:paraId="79B06931" w14:textId="77777777" w:rsidR="008C1526" w:rsidRDefault="008C1526" w:rsidP="00292F75">
            <w:pPr>
              <w:spacing w:after="0"/>
              <w:ind w:right="23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3.386.720,77</w:t>
            </w:r>
          </w:p>
        </w:tc>
      </w:tr>
    </w:tbl>
    <w:p w14:paraId="1360A587" w14:textId="77777777" w:rsidR="008C1526" w:rsidRPr="00D36A30" w:rsidRDefault="008C1526" w:rsidP="008C1526">
      <w:pPr>
        <w:spacing w:before="240" w:after="120" w:line="280" w:lineRule="exact"/>
        <w:jc w:val="both"/>
        <w:rPr>
          <w:rFonts w:ascii="Arial" w:hAnsi="Arial" w:cs="Arial"/>
          <w:sz w:val="20"/>
          <w:szCs w:val="20"/>
        </w:rPr>
      </w:pPr>
      <w:r w:rsidRPr="00D36A30">
        <w:rPr>
          <w:rFonts w:ascii="Arial" w:hAnsi="Arial" w:cs="Arial"/>
          <w:sz w:val="20"/>
          <w:szCs w:val="20"/>
        </w:rPr>
        <w:t xml:space="preserve">La composición de los </w:t>
      </w:r>
      <w:r>
        <w:rPr>
          <w:rFonts w:ascii="Arial" w:hAnsi="Arial" w:cs="Arial"/>
          <w:sz w:val="20"/>
          <w:szCs w:val="20"/>
        </w:rPr>
        <w:t>“</w:t>
      </w:r>
      <w:r w:rsidRPr="009B03BF">
        <w:rPr>
          <w:rFonts w:ascii="Arial" w:hAnsi="Arial" w:cs="Arial"/>
          <w:sz w:val="20"/>
          <w:szCs w:val="20"/>
        </w:rPr>
        <w:t>Activos financieros a coste amortizado</w:t>
      </w:r>
      <w:r>
        <w:rPr>
          <w:rFonts w:ascii="Arial" w:hAnsi="Arial" w:cs="Arial"/>
          <w:sz w:val="20"/>
          <w:szCs w:val="20"/>
        </w:rPr>
        <w:t>”</w:t>
      </w:r>
      <w:r w:rsidRPr="009B03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corto plazo 31 de diciembre de 2023</w:t>
      </w:r>
      <w:r w:rsidRPr="00C56E4C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2022 es el</w:t>
      </w:r>
      <w:r w:rsidRPr="00D36A30">
        <w:rPr>
          <w:rFonts w:ascii="Arial" w:hAnsi="Arial" w:cs="Arial"/>
          <w:sz w:val="20"/>
          <w:szCs w:val="20"/>
        </w:rPr>
        <w:t xml:space="preserve"> siguiente,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06"/>
        <w:gridCol w:w="1575"/>
        <w:gridCol w:w="97"/>
        <w:gridCol w:w="1482"/>
      </w:tblGrid>
      <w:tr w:rsidR="008C1526" w14:paraId="4E5EB8E7" w14:textId="77777777" w:rsidTr="00292F75">
        <w:trPr>
          <w:trHeight w:val="283"/>
          <w:jc w:val="center"/>
        </w:trPr>
        <w:tc>
          <w:tcPr>
            <w:tcW w:w="324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7DBAF432" w14:textId="77777777" w:rsidR="008C1526" w:rsidRDefault="008C1526" w:rsidP="00292F75">
            <w:pPr>
              <w:spacing w:after="0" w:line="240" w:lineRule="auto"/>
              <w:jc w:val="center"/>
              <w:rPr>
                <w:color w:val="000000"/>
                <w:lang w:eastAsia="es-ES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08371F4C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45B86746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2468C59B" w14:textId="77777777" w:rsidTr="00292F75">
        <w:trPr>
          <w:trHeight w:val="283"/>
          <w:jc w:val="center"/>
        </w:trPr>
        <w:tc>
          <w:tcPr>
            <w:tcW w:w="41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852E8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Deudores comerciales y otras cuentas a cobrar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151B7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8C1526" w14:paraId="0E81F8AE" w14:textId="77777777" w:rsidTr="00292F75">
        <w:trPr>
          <w:trHeight w:val="283"/>
          <w:jc w:val="center"/>
        </w:trPr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182E7" w14:textId="77777777" w:rsidR="008C1526" w:rsidRDefault="008C1526" w:rsidP="00292F75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Clientes por ventas y prestación de servicios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CF94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273.921,69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3DAE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4.425,22</w:t>
            </w:r>
          </w:p>
        </w:tc>
      </w:tr>
      <w:tr w:rsidR="008C1526" w14:paraId="293DC1AB" w14:textId="77777777" w:rsidTr="00292F75">
        <w:trPr>
          <w:trHeight w:val="283"/>
          <w:jc w:val="center"/>
        </w:trPr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DF518" w14:textId="77777777" w:rsidR="008C1526" w:rsidRDefault="008C1526" w:rsidP="00292F75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Otros deudores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50F1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1.564.061,92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025E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947.652,55</w:t>
            </w:r>
          </w:p>
        </w:tc>
      </w:tr>
      <w:tr w:rsidR="008C1526" w14:paraId="43070A0E" w14:textId="77777777" w:rsidTr="00292F75">
        <w:trPr>
          <w:trHeight w:val="283"/>
          <w:jc w:val="center"/>
        </w:trPr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B77CA" w14:textId="77777777" w:rsidR="008C1526" w:rsidRDefault="008C1526" w:rsidP="00292F75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62D7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89,35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9F82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1.727,97</w:t>
            </w:r>
          </w:p>
        </w:tc>
      </w:tr>
      <w:tr w:rsidR="008C1526" w14:paraId="7EF08748" w14:textId="77777777" w:rsidTr="00292F75">
        <w:trPr>
          <w:trHeight w:val="283"/>
          <w:jc w:val="center"/>
        </w:trPr>
        <w:tc>
          <w:tcPr>
            <w:tcW w:w="3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98E09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Inversiones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Eª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grupo y asociadas c/p (Nota 9)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A5AA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942.055,59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26604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760.364,41</w:t>
            </w:r>
          </w:p>
        </w:tc>
      </w:tr>
      <w:tr w:rsidR="008C1526" w14:paraId="4C660B2D" w14:textId="77777777" w:rsidTr="00292F75">
        <w:trPr>
          <w:trHeight w:val="283"/>
          <w:jc w:val="center"/>
        </w:trPr>
        <w:tc>
          <w:tcPr>
            <w:tcW w:w="32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82E192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Inversiones financieras a c/p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4148729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2922A1A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298,71</w:t>
            </w:r>
          </w:p>
        </w:tc>
      </w:tr>
      <w:tr w:rsidR="008C1526" w14:paraId="1AAEDE02" w14:textId="77777777" w:rsidTr="00292F75">
        <w:trPr>
          <w:trHeight w:val="283"/>
          <w:jc w:val="center"/>
        </w:trPr>
        <w:tc>
          <w:tcPr>
            <w:tcW w:w="3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14:paraId="01C78E20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FA40DC2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2.780.128,55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14:paraId="33B0A4CB" w14:textId="77777777" w:rsidR="008C1526" w:rsidRDefault="008C1526" w:rsidP="00292F75">
            <w:pPr>
              <w:spacing w:after="0" w:line="240" w:lineRule="auto"/>
              <w:ind w:right="12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1.714.468,86</w:t>
            </w:r>
          </w:p>
        </w:tc>
      </w:tr>
    </w:tbl>
    <w:p w14:paraId="4187B989" w14:textId="77777777" w:rsidR="008C1526" w:rsidRPr="0019307F" w:rsidRDefault="008C1526" w:rsidP="008C1526">
      <w:pPr>
        <w:pStyle w:val="CM26"/>
        <w:keepNext/>
        <w:keepLines/>
        <w:spacing w:before="24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El epígrafe de “Deudores comerciales y otras cuentas a cobrar” muestra los saldos pendientes de cobros de clientes por prestaciones de servicios y deudores por subvenciones concedidas.</w:t>
      </w:r>
    </w:p>
    <w:p w14:paraId="0EE58933" w14:textId="77777777" w:rsidR="008C1526" w:rsidRPr="003E40A9" w:rsidRDefault="008C1526" w:rsidP="008C1526">
      <w:pPr>
        <w:pStyle w:val="CM26"/>
        <w:keepNext/>
        <w:keepLines/>
        <w:spacing w:before="240" w:after="120" w:line="280" w:lineRule="exact"/>
        <w:jc w:val="both"/>
        <w:rPr>
          <w:rFonts w:ascii="Arial" w:hAnsi="Arial" w:cs="Arial"/>
          <w:sz w:val="20"/>
          <w:szCs w:val="20"/>
        </w:rPr>
      </w:pPr>
      <w:r w:rsidRPr="003E40A9">
        <w:rPr>
          <w:rFonts w:ascii="Arial" w:hAnsi="Arial" w:cs="Arial"/>
          <w:sz w:val="20"/>
          <w:szCs w:val="20"/>
        </w:rPr>
        <w:t xml:space="preserve">En el epígrafe de “Inversiones financieras en empresas del grupo a corto plazo” figuran los créditos fiscales de que dispone la sociedad por las retenciones y deducciones pendientes de aplicar y asumidas por el grupo consolidado fiscal al que pertenece, por importe de </w:t>
      </w:r>
      <w:r w:rsidRPr="003E40A9">
        <w:rPr>
          <w:rFonts w:ascii="Arial" w:hAnsi="Arial" w:cs="Arial"/>
          <w:color w:val="000000"/>
          <w:sz w:val="20"/>
          <w:szCs w:val="20"/>
        </w:rPr>
        <w:t>941.879,37 euros a 31 de diciembre de 2023</w:t>
      </w:r>
      <w:r w:rsidRPr="003E40A9">
        <w:rPr>
          <w:rFonts w:ascii="Arial" w:hAnsi="Arial" w:cs="Arial"/>
          <w:sz w:val="20"/>
          <w:szCs w:val="20"/>
        </w:rPr>
        <w:t xml:space="preserve"> (</w:t>
      </w:r>
      <w:r w:rsidRPr="003E40A9">
        <w:rPr>
          <w:rFonts w:ascii="Arial" w:hAnsi="Arial" w:cs="Arial"/>
          <w:color w:val="000000"/>
          <w:sz w:val="20"/>
          <w:szCs w:val="20"/>
        </w:rPr>
        <w:t xml:space="preserve">760.254,11 </w:t>
      </w:r>
      <w:r w:rsidRPr="003E40A9">
        <w:rPr>
          <w:rFonts w:ascii="Arial" w:hAnsi="Arial" w:cs="Arial"/>
          <w:sz w:val="20"/>
          <w:szCs w:val="20"/>
        </w:rPr>
        <w:t xml:space="preserve">euros a 31 de diciembre de 2022). </w:t>
      </w:r>
    </w:p>
    <w:p w14:paraId="16CD277F" w14:textId="77777777" w:rsidR="008C1526" w:rsidRPr="008A5BEA" w:rsidRDefault="008C1526" w:rsidP="008C1526">
      <w:pPr>
        <w:spacing w:before="120" w:after="120" w:line="28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8A5BEA">
        <w:rPr>
          <w:rFonts w:ascii="Arial" w:hAnsi="Arial" w:cs="Arial"/>
          <w:b/>
          <w:bCs/>
          <w:sz w:val="20"/>
          <w:szCs w:val="20"/>
          <w:u w:val="single"/>
        </w:rPr>
        <w:t>Efectivo y otros activos financieros</w:t>
      </w:r>
    </w:p>
    <w:p w14:paraId="5770EEEE" w14:textId="77777777" w:rsidR="008C1526" w:rsidRPr="00C56E4C" w:rsidRDefault="008C1526" w:rsidP="008C1526">
      <w:pPr>
        <w:pStyle w:val="CM25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56E4C">
        <w:rPr>
          <w:rFonts w:ascii="Arial" w:hAnsi="Arial" w:cs="Arial"/>
          <w:sz w:val="20"/>
          <w:szCs w:val="20"/>
        </w:rPr>
        <w:t xml:space="preserve">El detalle del epígrafe de efectivo y otros activos líquidos equivalentes al cierre del ejercicio es como sigue: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4"/>
        <w:gridCol w:w="2054"/>
        <w:gridCol w:w="2052"/>
      </w:tblGrid>
      <w:tr w:rsidR="008C1526" w14:paraId="2A2721D5" w14:textId="77777777" w:rsidTr="00292F75">
        <w:trPr>
          <w:trHeight w:val="283"/>
          <w:jc w:val="center"/>
        </w:trPr>
        <w:tc>
          <w:tcPr>
            <w:tcW w:w="27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228AF85B" w14:textId="77777777" w:rsidR="008C1526" w:rsidRDefault="008C1526" w:rsidP="00292F75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Tesorería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48667102" w14:textId="77777777" w:rsidR="008C1526" w:rsidRDefault="008C1526" w:rsidP="00292F75">
            <w:pPr>
              <w:spacing w:after="0" w:line="240" w:lineRule="auto"/>
              <w:ind w:right="25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</w:tcPr>
          <w:p w14:paraId="1D0A2B2D" w14:textId="77777777" w:rsidR="008C1526" w:rsidRDefault="008C1526" w:rsidP="00292F75">
            <w:pPr>
              <w:spacing w:after="0" w:line="240" w:lineRule="auto"/>
              <w:ind w:right="25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6E7CE8B8" w14:textId="77777777" w:rsidTr="00292F75">
        <w:trPr>
          <w:trHeight w:val="283"/>
          <w:jc w:val="center"/>
        </w:trPr>
        <w:tc>
          <w:tcPr>
            <w:tcW w:w="27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49C2F8" w14:textId="77777777" w:rsidR="008C1526" w:rsidRDefault="008C1526" w:rsidP="00292F75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Caja y Bancos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C96EB9" w14:textId="77777777" w:rsidR="008C1526" w:rsidRDefault="008C1526" w:rsidP="00292F75">
            <w:pPr>
              <w:spacing w:after="0" w:line="240" w:lineRule="auto"/>
              <w:ind w:right="25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1.744.081,52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A985BF" w14:textId="77777777" w:rsidR="008C1526" w:rsidRDefault="008C1526" w:rsidP="00292F75">
            <w:pPr>
              <w:spacing w:after="0" w:line="240" w:lineRule="auto"/>
              <w:ind w:right="25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1.672.251,91</w:t>
            </w:r>
          </w:p>
        </w:tc>
      </w:tr>
    </w:tbl>
    <w:p w14:paraId="48F8D01B" w14:textId="77777777" w:rsidR="008C1526" w:rsidRPr="008A5BEA" w:rsidRDefault="008C1526" w:rsidP="008C1526">
      <w:pPr>
        <w:spacing w:before="240" w:after="120" w:line="28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8A5BEA">
        <w:rPr>
          <w:rFonts w:ascii="Arial" w:hAnsi="Arial" w:cs="Arial"/>
          <w:b/>
          <w:bCs/>
          <w:sz w:val="20"/>
          <w:szCs w:val="20"/>
          <w:u w:val="single"/>
        </w:rPr>
        <w:t xml:space="preserve">Empresas del grupo, multigrupo y asociadas </w:t>
      </w:r>
    </w:p>
    <w:p w14:paraId="0C547FFE" w14:textId="77777777" w:rsidR="008C1526" w:rsidRPr="00540DC3" w:rsidRDefault="008C1526" w:rsidP="008C1526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lastRenderedPageBreak/>
        <w:t>La Sociedad “Instituto Volcanológico de Canarias S.A.U.” no tiene acciones o participaciones de entidades que puedan ser consideradas como empresas del grupo.</w:t>
      </w:r>
    </w:p>
    <w:p w14:paraId="20BEE122" w14:textId="77777777" w:rsidR="008C1526" w:rsidRPr="00540DC3" w:rsidRDefault="008C1526" w:rsidP="008C1526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Los Administradores consideran que el importe en libros de las cuentas de deudores comerciales y otras cuentas a cobrar se aproxima a su valor razonable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 w:type="page"/>
      </w:r>
      <w:r w:rsidRPr="00A24815">
        <w:rPr>
          <w:rFonts w:ascii="Arial" w:hAnsi="Arial" w:cs="Arial"/>
          <w:b/>
          <w:bCs/>
          <w:sz w:val="20"/>
          <w:szCs w:val="20"/>
        </w:rPr>
        <w:lastRenderedPageBreak/>
        <w:t>6.  PASIVOS FINANCIEROS</w:t>
      </w:r>
      <w:r w:rsidRPr="00540DC3">
        <w:rPr>
          <w:rFonts w:ascii="Arial" w:hAnsi="Arial" w:cs="Arial"/>
          <w:sz w:val="20"/>
          <w:szCs w:val="20"/>
        </w:rPr>
        <w:t xml:space="preserve"> </w:t>
      </w:r>
    </w:p>
    <w:p w14:paraId="55CF8F1F" w14:textId="77777777" w:rsidR="008C1526" w:rsidRPr="00CF32BA" w:rsidRDefault="008C1526" w:rsidP="008C1526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F32BA">
        <w:rPr>
          <w:rFonts w:ascii="Arial" w:hAnsi="Arial" w:cs="Arial"/>
          <w:sz w:val="20"/>
          <w:szCs w:val="20"/>
        </w:rPr>
        <w:t>El detalle de pasivos financieros</w:t>
      </w:r>
      <w:r>
        <w:rPr>
          <w:rFonts w:ascii="Arial" w:hAnsi="Arial" w:cs="Arial"/>
          <w:sz w:val="20"/>
          <w:szCs w:val="20"/>
        </w:rPr>
        <w:t xml:space="preserve"> a </w:t>
      </w:r>
      <w:r w:rsidRPr="006210F7">
        <w:rPr>
          <w:rFonts w:ascii="Arial" w:hAnsi="Arial" w:cs="Arial"/>
          <w:sz w:val="20"/>
          <w:szCs w:val="20"/>
          <w:u w:val="single"/>
        </w:rPr>
        <w:t xml:space="preserve">largo y </w:t>
      </w:r>
      <w:r w:rsidRPr="00F80EBA">
        <w:rPr>
          <w:rFonts w:ascii="Arial" w:hAnsi="Arial" w:cs="Arial"/>
          <w:sz w:val="20"/>
          <w:szCs w:val="20"/>
          <w:u w:val="single"/>
        </w:rPr>
        <w:t>corto plazo</w:t>
      </w:r>
      <w:r w:rsidRPr="00CF32BA">
        <w:rPr>
          <w:rFonts w:ascii="Arial" w:hAnsi="Arial" w:cs="Arial"/>
          <w:sz w:val="20"/>
          <w:szCs w:val="20"/>
        </w:rPr>
        <w:t xml:space="preserve"> a 31 de diciembre de </w:t>
      </w:r>
      <w:r>
        <w:rPr>
          <w:rFonts w:ascii="Arial" w:hAnsi="Arial" w:cs="Arial"/>
          <w:sz w:val="20"/>
          <w:szCs w:val="20"/>
        </w:rPr>
        <w:t>2023</w:t>
      </w:r>
      <w:r w:rsidRPr="00C56E4C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2022</w:t>
      </w:r>
      <w:r w:rsidRPr="00CF32B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excluido saldos con administraciones públicas, </w:t>
      </w:r>
      <w:r w:rsidRPr="00CF32BA">
        <w:rPr>
          <w:rFonts w:ascii="Arial" w:hAnsi="Arial" w:cs="Arial"/>
          <w:sz w:val="20"/>
          <w:szCs w:val="20"/>
        </w:rPr>
        <w:t xml:space="preserve">es el siguiente, en euros: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1"/>
        <w:gridCol w:w="1846"/>
        <w:gridCol w:w="2113"/>
      </w:tblGrid>
      <w:tr w:rsidR="008C1526" w14:paraId="4016FAC6" w14:textId="77777777" w:rsidTr="00292F75">
        <w:trPr>
          <w:trHeight w:val="283"/>
          <w:jc w:val="center"/>
        </w:trPr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16B273D4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Derivados y otros a largo plazo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7123E24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71E6D8C5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407E68F9" w14:textId="77777777" w:rsidTr="00292F75">
        <w:trPr>
          <w:trHeight w:val="283"/>
          <w:jc w:val="center"/>
        </w:trPr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9F457C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Pasivo financiero a coste amortizado a l/p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3991CC" w14:textId="77777777" w:rsidR="008C1526" w:rsidRDefault="008C1526" w:rsidP="00292F75">
            <w:pPr>
              <w:spacing w:after="0"/>
              <w:ind w:right="189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AFA3A" w14:textId="77777777" w:rsidR="008C1526" w:rsidRDefault="008C1526" w:rsidP="00292F75">
            <w:pPr>
              <w:spacing w:after="0"/>
              <w:ind w:right="18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C1526" w14:paraId="33A75A68" w14:textId="77777777" w:rsidTr="00292F75">
        <w:trPr>
          <w:trHeight w:val="283"/>
          <w:jc w:val="center"/>
        </w:trPr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C8DF37F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Derivados y otros a corto plazo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CC31D35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644484CB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78F627ED" w14:textId="77777777" w:rsidTr="00292F75">
        <w:trPr>
          <w:trHeight w:val="283"/>
          <w:jc w:val="center"/>
        </w:trPr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440885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Pasivo financiero a coste amortizado a c/p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07ADC1" w14:textId="77777777" w:rsidR="008C1526" w:rsidRDefault="008C1526" w:rsidP="00292F75">
            <w:pPr>
              <w:spacing w:after="0"/>
              <w:ind w:right="18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4.274.416,06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1C458" w14:textId="77777777" w:rsidR="008C1526" w:rsidRDefault="008C1526" w:rsidP="00292F75">
            <w:pPr>
              <w:spacing w:after="0"/>
              <w:ind w:right="189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2.902.180,35</w:t>
            </w:r>
          </w:p>
        </w:tc>
      </w:tr>
      <w:tr w:rsidR="008C1526" w14:paraId="4AB239E1" w14:textId="77777777" w:rsidTr="00292F75">
        <w:trPr>
          <w:trHeight w:val="283"/>
          <w:jc w:val="center"/>
        </w:trPr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666A5A3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AED1F79" w14:textId="77777777" w:rsidR="008C1526" w:rsidRDefault="008C1526" w:rsidP="00292F75">
            <w:pPr>
              <w:spacing w:after="0"/>
              <w:ind w:right="18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4.574.416,06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5DD6D2C" w14:textId="77777777" w:rsidR="008C1526" w:rsidRDefault="008C1526" w:rsidP="00292F75">
            <w:pPr>
              <w:spacing w:after="0"/>
              <w:ind w:right="18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2.902.180,35</w:t>
            </w:r>
          </w:p>
        </w:tc>
      </w:tr>
    </w:tbl>
    <w:p w14:paraId="3263412F" w14:textId="77777777" w:rsidR="008C1526" w:rsidRPr="007F414A" w:rsidRDefault="008C1526" w:rsidP="008C1526">
      <w:pPr>
        <w:spacing w:before="240" w:after="120" w:line="280" w:lineRule="exact"/>
        <w:jc w:val="both"/>
        <w:rPr>
          <w:rFonts w:ascii="Arial" w:hAnsi="Arial" w:cs="Arial"/>
          <w:bCs/>
          <w:sz w:val="20"/>
          <w:szCs w:val="20"/>
        </w:rPr>
      </w:pPr>
      <w:r w:rsidRPr="00A24815">
        <w:rPr>
          <w:rFonts w:ascii="Arial" w:hAnsi="Arial" w:cs="Arial"/>
          <w:bCs/>
          <w:sz w:val="20"/>
          <w:szCs w:val="20"/>
        </w:rPr>
        <w:t>El detalle de los “Pasivos financieros a coste amortizado a largo plazo” a 31 de diciembre de 2023 se corresponde a “Deudas transformables en subvenciones a largo plazo” por una subvención del Gobierno de España recogida dentro del Plan de Recuperación de La Palma e instrumentalizada mediante resolución del Ministerio de Transportes, Movilidad y</w:t>
      </w:r>
      <w:r w:rsidRPr="00FD7526">
        <w:rPr>
          <w:rFonts w:ascii="Arial" w:hAnsi="Arial" w:cs="Arial"/>
          <w:bCs/>
          <w:sz w:val="20"/>
          <w:szCs w:val="20"/>
        </w:rPr>
        <w:t xml:space="preserve"> Agenda Urbana, con periodo de ejecución comprendido entre 2023 y 2026. </w:t>
      </w:r>
    </w:p>
    <w:p w14:paraId="24C876C0" w14:textId="77777777" w:rsidR="008C1526" w:rsidRDefault="008C1526" w:rsidP="008C1526">
      <w:pPr>
        <w:spacing w:before="240" w:after="120" w:line="280" w:lineRule="exact"/>
        <w:jc w:val="both"/>
        <w:rPr>
          <w:rFonts w:ascii="Arial" w:hAnsi="Arial" w:cs="Arial"/>
          <w:sz w:val="20"/>
          <w:szCs w:val="20"/>
        </w:rPr>
      </w:pPr>
      <w:r w:rsidRPr="007F414A">
        <w:rPr>
          <w:rFonts w:ascii="Arial" w:hAnsi="Arial" w:cs="Arial"/>
          <w:bCs/>
          <w:sz w:val="20"/>
          <w:szCs w:val="20"/>
        </w:rPr>
        <w:t>El detalle de los “Pasivos financieros a coste amortizado a corto plazo”</w:t>
      </w:r>
      <w:r w:rsidRPr="009B03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31 de diciembre de 2023</w:t>
      </w:r>
      <w:r w:rsidRPr="00C56E4C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 xml:space="preserve">2022 </w:t>
      </w:r>
      <w:r w:rsidRPr="00E9148E">
        <w:rPr>
          <w:rFonts w:ascii="Arial" w:hAnsi="Arial" w:cs="Arial"/>
          <w:sz w:val="20"/>
          <w:szCs w:val="20"/>
        </w:rPr>
        <w:t>se indica a continuación,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7"/>
        <w:gridCol w:w="1607"/>
        <w:gridCol w:w="1606"/>
      </w:tblGrid>
      <w:tr w:rsidR="008C1526" w14:paraId="1AEE2AC2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398072F3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FC6ADE5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5409E6F5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100A28B7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DEB2194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0740116" w14:textId="77777777" w:rsidR="008C1526" w:rsidRDefault="008C1526" w:rsidP="00292F7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D5A660E" w14:textId="77777777" w:rsidR="008C1526" w:rsidRDefault="008C1526" w:rsidP="00292F7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C1526" w14:paraId="468B2317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BCA2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Acreedores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8FFB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(29.569,92)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7737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118.027,62</w:t>
            </w:r>
          </w:p>
        </w:tc>
      </w:tr>
      <w:tr w:rsidR="008C1526" w14:paraId="3B6D8418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2CE0657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saldos por operaciones Comerciales 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4D62168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(29.569,92)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5CC5889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118.027,62</w:t>
            </w:r>
          </w:p>
        </w:tc>
      </w:tr>
      <w:tr w:rsidR="008C1526" w14:paraId="7A039D6C" w14:textId="77777777" w:rsidTr="00292F75">
        <w:tblPrEx>
          <w:jc w:val="left"/>
        </w:tblPrEx>
        <w:trPr>
          <w:trHeight w:val="170"/>
        </w:trPr>
        <w:tc>
          <w:tcPr>
            <w:tcW w:w="32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15E2A" w14:textId="77777777" w:rsidR="008C1526" w:rsidRDefault="008C1526" w:rsidP="00292F75">
            <w:pPr>
              <w:spacing w:after="0"/>
              <w:ind w:left="217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65C1B" w14:textId="77777777" w:rsidR="008C1526" w:rsidRDefault="008C1526" w:rsidP="00292F75">
            <w:pPr>
              <w:spacing w:after="0"/>
              <w:ind w:right="154"/>
              <w:rPr>
                <w:sz w:val="10"/>
                <w:szCs w:val="1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8528C" w14:textId="77777777" w:rsidR="008C1526" w:rsidRDefault="008C1526" w:rsidP="00292F75">
            <w:pPr>
              <w:spacing w:after="0"/>
              <w:ind w:right="103"/>
              <w:rPr>
                <w:sz w:val="10"/>
                <w:szCs w:val="10"/>
              </w:rPr>
            </w:pPr>
          </w:p>
        </w:tc>
      </w:tr>
      <w:tr w:rsidR="008C1526" w14:paraId="279DE053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7BB2CE5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no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2B64659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5B5B999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1526" w14:paraId="36C91B50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39D67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Deudas con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Eª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grupo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5CAB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5.178,12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0DD2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5.178,12</w:t>
            </w:r>
          </w:p>
        </w:tc>
      </w:tr>
      <w:tr w:rsidR="008C1526" w14:paraId="62466357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9A6B9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Cuenta corriente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Eª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grupo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DFF2B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62,34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E70A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62,34</w:t>
            </w:r>
          </w:p>
        </w:tc>
      </w:tr>
      <w:tr w:rsidR="008C1526" w14:paraId="7305D0B6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F26C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EFB4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4.565,41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D9764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8.629,53</w:t>
            </w:r>
          </w:p>
        </w:tc>
      </w:tr>
      <w:tr w:rsidR="008C1526" w14:paraId="69EAD80A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B9D9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Depósitos y partidas a pagar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A8AAE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8.805,00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70EAC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11.316,70</w:t>
            </w:r>
          </w:p>
        </w:tc>
      </w:tr>
      <w:tr w:rsidR="008C1526" w14:paraId="6E3571B5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EE5B3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Deudas a c/p transformables en subvenciones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EFDB6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4.285.375,11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8085C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2.758.966,04</w:t>
            </w:r>
          </w:p>
        </w:tc>
      </w:tr>
      <w:tr w:rsidR="008C1526" w14:paraId="10FA7E77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358271D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saldos por operaciones no comerciales 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7E14ED7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4.303.985,98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9A56A3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2.784.152,73</w:t>
            </w:r>
          </w:p>
        </w:tc>
      </w:tr>
      <w:tr w:rsidR="008C1526" w14:paraId="79DC6886" w14:textId="77777777" w:rsidTr="00292F75">
        <w:tblPrEx>
          <w:jc w:val="left"/>
        </w:tblPrEx>
        <w:trPr>
          <w:trHeight w:val="170"/>
        </w:trPr>
        <w:tc>
          <w:tcPr>
            <w:tcW w:w="3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24723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FF47D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3331C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C1526" w14:paraId="4677F0D1" w14:textId="77777777" w:rsidTr="00292F75">
        <w:trPr>
          <w:trHeight w:val="283"/>
          <w:jc w:val="center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7A2D518" w14:textId="77777777" w:rsidR="008C1526" w:rsidRDefault="008C1526" w:rsidP="00292F75">
            <w:pPr>
              <w:spacing w:after="0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CD5A94C" w14:textId="77777777" w:rsidR="008C1526" w:rsidRDefault="008C1526" w:rsidP="00292F75">
            <w:pPr>
              <w:spacing w:after="0"/>
              <w:ind w:right="154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4.274.416,06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BCCAF90" w14:textId="77777777" w:rsidR="008C1526" w:rsidRDefault="008C1526" w:rsidP="00292F75">
            <w:pPr>
              <w:spacing w:after="0"/>
              <w:ind w:right="10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2.902.180,35</w:t>
            </w:r>
          </w:p>
        </w:tc>
      </w:tr>
    </w:tbl>
    <w:p w14:paraId="025E6309" w14:textId="77777777" w:rsidR="008C1526" w:rsidRPr="00A24815" w:rsidRDefault="008C1526" w:rsidP="008C1526">
      <w:pPr>
        <w:spacing w:before="240" w:after="120" w:line="260" w:lineRule="exact"/>
        <w:jc w:val="both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 xml:space="preserve">En el epígrafe “Deudas a c/p transformables en subvenciones” se han clasificado los importes de subvenciones concedidas desde varias administraciones públicas a ejecutar en 2023 y 2024. (Nota 11). </w:t>
      </w:r>
    </w:p>
    <w:p w14:paraId="7A0A1354" w14:textId="77777777" w:rsidR="008C1526" w:rsidRPr="00A24815" w:rsidRDefault="008C1526" w:rsidP="008C1526">
      <w:pPr>
        <w:keepNext/>
        <w:keepLines/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24815">
        <w:rPr>
          <w:rFonts w:ascii="Arial" w:hAnsi="Arial" w:cs="Arial"/>
          <w:b/>
          <w:bCs/>
          <w:sz w:val="20"/>
          <w:szCs w:val="20"/>
          <w:u w:val="single"/>
        </w:rPr>
        <w:t xml:space="preserve">Clasificación por vencimientos </w:t>
      </w:r>
    </w:p>
    <w:p w14:paraId="6F946D29" w14:textId="77777777" w:rsidR="008C1526" w:rsidRPr="00A24815" w:rsidRDefault="008C1526" w:rsidP="008C1526">
      <w:pPr>
        <w:keepNext/>
        <w:keepLines/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La clasificación por vencimientos de los pasivos financieros en el ejercicio 2023 es la siguiente: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2"/>
        <w:gridCol w:w="1235"/>
        <w:gridCol w:w="1079"/>
        <w:gridCol w:w="1079"/>
        <w:gridCol w:w="1235"/>
      </w:tblGrid>
      <w:tr w:rsidR="008C1526" w14:paraId="08D043C9" w14:textId="77777777" w:rsidTr="00292F75">
        <w:trPr>
          <w:trHeight w:val="252"/>
        </w:trPr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C2CA12D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73008C0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2024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8CC7995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2025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7760F5B5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+ 2 años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5DBF23E0" w14:textId="77777777" w:rsidR="008C1526" w:rsidRDefault="008C1526" w:rsidP="00292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</w:tr>
      <w:tr w:rsidR="008C1526" w14:paraId="22D654D1" w14:textId="77777777" w:rsidTr="00292F75">
        <w:trPr>
          <w:trHeight w:val="255"/>
        </w:trPr>
        <w:tc>
          <w:tcPr>
            <w:tcW w:w="241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C52FB7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Otros pasivos financieros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FC45412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4.285.375,11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DA3984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DD43E9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831C02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4.585.375,11</w:t>
            </w:r>
          </w:p>
        </w:tc>
      </w:tr>
      <w:tr w:rsidR="008C1526" w14:paraId="139A6D0B" w14:textId="77777777" w:rsidTr="00292F75">
        <w:trPr>
          <w:trHeight w:val="255"/>
        </w:trPr>
        <w:tc>
          <w:tcPr>
            <w:tcW w:w="24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09279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Deudas con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Eª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 de grupo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FD671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5.240,46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28684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F4B26" w14:textId="77777777" w:rsidR="008C1526" w:rsidRDefault="008C1526" w:rsidP="00292F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2B86F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5.240,46</w:t>
            </w:r>
          </w:p>
        </w:tc>
      </w:tr>
      <w:tr w:rsidR="008C1526" w14:paraId="1368D689" w14:textId="77777777" w:rsidTr="00292F75">
        <w:trPr>
          <w:trHeight w:val="255"/>
        </w:trPr>
        <w:tc>
          <w:tcPr>
            <w:tcW w:w="24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5F612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Acreedores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DD76C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5.688,06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E1DA1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389B2" w14:textId="77777777" w:rsidR="008C1526" w:rsidRDefault="008C1526" w:rsidP="00292F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65432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5.688,06</w:t>
            </w:r>
          </w:p>
        </w:tc>
      </w:tr>
      <w:tr w:rsidR="008C1526" w14:paraId="436B8911" w14:textId="77777777" w:rsidTr="00292F75">
        <w:trPr>
          <w:trHeight w:val="255"/>
        </w:trPr>
        <w:tc>
          <w:tcPr>
            <w:tcW w:w="24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B0D7A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0D4A4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4.565,41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A70D2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6E893" w14:textId="77777777" w:rsidR="008C1526" w:rsidRDefault="008C1526" w:rsidP="00292F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549C2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4.565,41</w:t>
            </w:r>
          </w:p>
        </w:tc>
      </w:tr>
      <w:tr w:rsidR="008C1526" w14:paraId="6129DA1E" w14:textId="77777777" w:rsidTr="00292F75">
        <w:trPr>
          <w:trHeight w:val="255"/>
        </w:trPr>
        <w:tc>
          <w:tcPr>
            <w:tcW w:w="24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6391B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Depósitos y partidas a pagar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971D0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8.805,00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00A75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E18CD" w14:textId="77777777" w:rsidR="008C1526" w:rsidRDefault="008C1526" w:rsidP="00292F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A3255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8.805,00</w:t>
            </w:r>
          </w:p>
        </w:tc>
      </w:tr>
      <w:tr w:rsidR="008C1526" w14:paraId="625B5463" w14:textId="77777777" w:rsidTr="00292F75">
        <w:trPr>
          <w:trHeight w:val="255"/>
        </w:trPr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DA198D4" w14:textId="77777777" w:rsidR="008C1526" w:rsidRDefault="008C1526" w:rsidP="00292F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Total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B70AE04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4.274.416,06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CD0C7B7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08A7F69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C46C75F" w14:textId="77777777" w:rsidR="008C1526" w:rsidRDefault="008C1526" w:rsidP="00292F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4.574.416,06</w:t>
            </w:r>
          </w:p>
        </w:tc>
      </w:tr>
    </w:tbl>
    <w:p w14:paraId="64C141BD" w14:textId="77777777" w:rsidR="008C1526" w:rsidRPr="00DD3FE4" w:rsidRDefault="008C1526" w:rsidP="008C1526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Las clasificaciones por vencimientos de los pasivos financieros en el ejercicio 2022 es inferior a un año.</w:t>
      </w:r>
    </w:p>
    <w:p w14:paraId="6503DF74" w14:textId="77777777" w:rsidR="008C1526" w:rsidRPr="007D57AB" w:rsidRDefault="008C1526" w:rsidP="008C1526">
      <w:pPr>
        <w:widowControl w:val="0"/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57AB">
        <w:rPr>
          <w:rFonts w:ascii="Arial" w:hAnsi="Arial" w:cs="Arial"/>
          <w:b/>
          <w:bCs/>
          <w:sz w:val="20"/>
          <w:szCs w:val="20"/>
          <w:u w:val="single"/>
        </w:rPr>
        <w:t>Otra información</w:t>
      </w:r>
    </w:p>
    <w:p w14:paraId="60A03F47" w14:textId="77777777" w:rsidR="008C1526" w:rsidRPr="00540DC3" w:rsidRDefault="008C1526" w:rsidP="008C1526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No existen deudas a largo plazo en el pasivo del balance.</w:t>
      </w:r>
    </w:p>
    <w:p w14:paraId="7EA87456" w14:textId="77777777" w:rsidR="008C1526" w:rsidRPr="00540DC3" w:rsidRDefault="008C1526" w:rsidP="008C1526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Sociedad</w:t>
      </w:r>
      <w:r w:rsidRPr="00540DC3">
        <w:rPr>
          <w:rFonts w:ascii="Arial" w:hAnsi="Arial" w:cs="Arial"/>
          <w:sz w:val="20"/>
          <w:szCs w:val="20"/>
        </w:rPr>
        <w:t xml:space="preserve"> no mantiene ninguna línea de descuento.</w:t>
      </w:r>
    </w:p>
    <w:p w14:paraId="1F83F683" w14:textId="77777777" w:rsidR="008C1526" w:rsidRDefault="008C1526" w:rsidP="008C1526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No se mantiene ningún tipo de pólizas de crédito con ninguna entidad bancaria.</w:t>
      </w:r>
    </w:p>
    <w:p w14:paraId="2494CF64" w14:textId="77777777" w:rsidR="008C1526" w:rsidRPr="008C1526" w:rsidRDefault="008C1526" w:rsidP="008C1526">
      <w:pPr>
        <w:pStyle w:val="Ttulo4"/>
        <w:spacing w:before="360" w:after="120" w:line="280" w:lineRule="exact"/>
        <w:rPr>
          <w:rFonts w:ascii="Arial" w:hAnsi="Arial" w:cs="Arial"/>
          <w:b/>
          <w:bCs/>
          <w:color w:val="auto"/>
          <w:sz w:val="20"/>
          <w:szCs w:val="20"/>
        </w:rPr>
      </w:pPr>
      <w:r w:rsidRPr="008C1526">
        <w:rPr>
          <w:rFonts w:ascii="Arial" w:hAnsi="Arial" w:cs="Arial"/>
          <w:b/>
          <w:bCs/>
          <w:color w:val="auto"/>
          <w:sz w:val="20"/>
          <w:szCs w:val="20"/>
        </w:rPr>
        <w:t>7. FONDOS PROPIOS</w:t>
      </w:r>
    </w:p>
    <w:p w14:paraId="7BE4F3F6" w14:textId="77777777" w:rsidR="008C1526" w:rsidRPr="001612D7" w:rsidRDefault="008C1526" w:rsidP="008C1526">
      <w:pPr>
        <w:widowControl w:val="0"/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77465360"/>
      <w:r w:rsidRPr="001612D7">
        <w:rPr>
          <w:rFonts w:ascii="Arial" w:hAnsi="Arial" w:cs="Arial"/>
          <w:b/>
          <w:bCs/>
          <w:sz w:val="20"/>
          <w:szCs w:val="20"/>
          <w:u w:val="single"/>
        </w:rPr>
        <w:t xml:space="preserve">Capital social </w:t>
      </w:r>
    </w:p>
    <w:p w14:paraId="19700CE5" w14:textId="77777777" w:rsidR="008C1526" w:rsidRPr="00540DC3" w:rsidRDefault="008C1526" w:rsidP="008C1526">
      <w:pPr>
        <w:widowControl w:val="0"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 xml:space="preserve">El capital social de la </w:t>
      </w:r>
      <w:r>
        <w:rPr>
          <w:rFonts w:ascii="Arial" w:hAnsi="Arial" w:cs="Arial"/>
          <w:sz w:val="20"/>
          <w:szCs w:val="20"/>
        </w:rPr>
        <w:t>Sociedad</w:t>
      </w:r>
      <w:r w:rsidRPr="00540DC3">
        <w:rPr>
          <w:rFonts w:ascii="Arial" w:hAnsi="Arial" w:cs="Arial"/>
          <w:sz w:val="20"/>
          <w:szCs w:val="20"/>
        </w:rPr>
        <w:t xml:space="preserve"> está representado por los títulos que a continuación se indican, a la fecha de cierre del ejercicio.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42"/>
        <w:gridCol w:w="1865"/>
        <w:gridCol w:w="2054"/>
        <w:gridCol w:w="2799"/>
      </w:tblGrid>
      <w:tr w:rsidR="008C1526" w14:paraId="37381CE2" w14:textId="77777777" w:rsidTr="00292F75">
        <w:trPr>
          <w:trHeight w:val="312"/>
          <w:jc w:val="center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AAB6FA6" w14:textId="77777777" w:rsidR="008C1526" w:rsidRDefault="008C1526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Serie 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DE737EE" w14:textId="77777777" w:rsidR="008C1526" w:rsidRDefault="008C1526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es-ES"/>
              </w:rPr>
              <w:t>Títulos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A596C6B" w14:textId="77777777" w:rsidR="008C1526" w:rsidRDefault="008C1526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Nominal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A11F3C" w14:textId="77777777" w:rsidR="008C1526" w:rsidRDefault="008C1526" w:rsidP="00292F75">
            <w:pPr>
              <w:widowControl w:val="0"/>
              <w:spacing w:after="0" w:line="240" w:lineRule="auto"/>
              <w:ind w:right="21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Nominal Total</w:t>
            </w:r>
          </w:p>
        </w:tc>
      </w:tr>
      <w:tr w:rsidR="008C1526" w14:paraId="17E892FE" w14:textId="77777777" w:rsidTr="00292F75">
        <w:trPr>
          <w:trHeight w:val="340"/>
          <w:jc w:val="center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B8ED01" w14:textId="77777777" w:rsidR="008C1526" w:rsidRDefault="008C1526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693694" w14:textId="77777777" w:rsidR="008C1526" w:rsidRDefault="008C1526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602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5F7EF1" w14:textId="77777777" w:rsidR="008C1526" w:rsidRDefault="008C1526" w:rsidP="00292F7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100,00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95BFB6" w14:textId="77777777" w:rsidR="008C1526" w:rsidRDefault="008C1526" w:rsidP="00292F75">
            <w:pPr>
              <w:widowControl w:val="0"/>
              <w:spacing w:after="0" w:line="240" w:lineRule="auto"/>
              <w:ind w:right="21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60.200,00</w:t>
            </w:r>
          </w:p>
        </w:tc>
      </w:tr>
    </w:tbl>
    <w:p w14:paraId="505BE713" w14:textId="77777777" w:rsidR="008C1526" w:rsidRPr="00540DC3" w:rsidRDefault="008C1526" w:rsidP="008C1526">
      <w:pPr>
        <w:spacing w:before="24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40DC3">
        <w:rPr>
          <w:rFonts w:ascii="Arial" w:hAnsi="Arial" w:cs="Arial"/>
          <w:sz w:val="20"/>
          <w:szCs w:val="20"/>
        </w:rPr>
        <w:t>El Capital Social de la Sociedad a</w:t>
      </w:r>
      <w:r>
        <w:rPr>
          <w:rFonts w:ascii="Arial" w:hAnsi="Arial" w:cs="Arial"/>
          <w:sz w:val="20"/>
          <w:szCs w:val="20"/>
        </w:rPr>
        <w:t xml:space="preserve"> 31 de diciembre de 2023 y 2022</w:t>
      </w:r>
      <w:r w:rsidRPr="00540DC3">
        <w:rPr>
          <w:rFonts w:ascii="Arial" w:hAnsi="Arial" w:cs="Arial"/>
          <w:sz w:val="20"/>
          <w:szCs w:val="20"/>
        </w:rPr>
        <w:t xml:space="preserve"> es de 60.200 </w:t>
      </w:r>
      <w:r>
        <w:rPr>
          <w:rFonts w:ascii="Arial" w:hAnsi="Arial" w:cs="Arial"/>
          <w:sz w:val="20"/>
          <w:szCs w:val="20"/>
        </w:rPr>
        <w:t>euros</w:t>
      </w:r>
      <w:r w:rsidRPr="00540DC3">
        <w:rPr>
          <w:rFonts w:ascii="Arial" w:hAnsi="Arial" w:cs="Arial"/>
          <w:sz w:val="20"/>
          <w:szCs w:val="20"/>
        </w:rPr>
        <w:t xml:space="preserve"> dividido en 602 acciones nominativas de 100 </w:t>
      </w:r>
      <w:proofErr w:type="gramStart"/>
      <w:r w:rsidRPr="00540DC3">
        <w:rPr>
          <w:rFonts w:ascii="Arial" w:hAnsi="Arial" w:cs="Arial"/>
          <w:sz w:val="20"/>
          <w:szCs w:val="20"/>
        </w:rPr>
        <w:t>Euros</w:t>
      </w:r>
      <w:proofErr w:type="gramEnd"/>
      <w:r w:rsidRPr="00540DC3">
        <w:rPr>
          <w:rFonts w:ascii="Arial" w:hAnsi="Arial" w:cs="Arial"/>
          <w:sz w:val="20"/>
          <w:szCs w:val="20"/>
        </w:rPr>
        <w:t xml:space="preserve"> de valor nominal, numeradas de la 1 a la 602, ambas inclusive, totalmente suscritas por el Instituto Tecnológic</w:t>
      </w:r>
      <w:r>
        <w:rPr>
          <w:rFonts w:ascii="Arial" w:hAnsi="Arial" w:cs="Arial"/>
          <w:sz w:val="20"/>
          <w:szCs w:val="20"/>
        </w:rPr>
        <w:t>o y de Energías Renovables, S.A.</w:t>
      </w:r>
    </w:p>
    <w:bookmarkEnd w:id="0"/>
    <w:p w14:paraId="70BCA4B5" w14:textId="77777777" w:rsidR="008C1526" w:rsidRPr="001612D7" w:rsidRDefault="008C1526" w:rsidP="008C1526">
      <w:pPr>
        <w:pStyle w:val="CM20"/>
        <w:keepNext/>
        <w:keepLines/>
        <w:spacing w:before="120" w:after="12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612D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Acciones o participaciones propias </w:t>
      </w:r>
    </w:p>
    <w:p w14:paraId="1007A7AC" w14:textId="77777777" w:rsidR="008C1526" w:rsidRDefault="008C1526" w:rsidP="008C1526">
      <w:pPr>
        <w:pStyle w:val="CM23"/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3F6896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>Sociedad</w:t>
      </w:r>
      <w:r w:rsidRPr="003F6896">
        <w:rPr>
          <w:rFonts w:ascii="Arial" w:hAnsi="Arial" w:cs="Arial"/>
          <w:color w:val="000000"/>
          <w:sz w:val="20"/>
          <w:szCs w:val="20"/>
        </w:rPr>
        <w:t xml:space="preserve"> no ha dispuesto de acciones o participaciones propias durante el ejercicio.</w:t>
      </w:r>
    </w:p>
    <w:p w14:paraId="10B824F7" w14:textId="77777777" w:rsidR="008C1526" w:rsidRPr="001612D7" w:rsidRDefault="008C1526" w:rsidP="008C1526">
      <w:pPr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12D7">
        <w:rPr>
          <w:rFonts w:ascii="Arial" w:hAnsi="Arial" w:cs="Arial"/>
          <w:b/>
          <w:bCs/>
          <w:sz w:val="20"/>
          <w:szCs w:val="20"/>
          <w:u w:val="single"/>
        </w:rPr>
        <w:t>Reservas</w:t>
      </w:r>
    </w:p>
    <w:p w14:paraId="036EC30B" w14:textId="77777777" w:rsidR="008C1526" w:rsidRPr="003F6896" w:rsidRDefault="008C1526" w:rsidP="008C1526">
      <w:pPr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3F6896">
        <w:rPr>
          <w:rFonts w:ascii="Arial" w:hAnsi="Arial" w:cs="Arial"/>
          <w:sz w:val="20"/>
          <w:szCs w:val="20"/>
        </w:rPr>
        <w:t xml:space="preserve">La Reserva Legal es restringida en cuanto a su uso, el cual se halla determinado por diversas disposiciones legales. De conformidad con la Ley de Sociedades de Capital, están obligadas a dotarla las sociedades mercantiles que, bajo dicha forma jurídica, obtengan beneficios, con un 10% de los mismos, hasta que el fondo de reserva constituido alcance la quinta parte del capital social suscrito. Los destinos de la reserva legal son la compensación de pérdidas o la ampliación de capital por la parte que exceda del 10% del capital ya aumentado, así como su distribución a los Socios en caso de liquidación. </w:t>
      </w:r>
    </w:p>
    <w:p w14:paraId="4B3D3006" w14:textId="77777777" w:rsidR="008C1526" w:rsidRPr="003671AE" w:rsidRDefault="008C1526" w:rsidP="008C1526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3671AE">
        <w:rPr>
          <w:rFonts w:ascii="Arial" w:hAnsi="Arial" w:cs="Arial"/>
          <w:sz w:val="20"/>
          <w:szCs w:val="20"/>
        </w:rPr>
        <w:t>El detalle de las Reservas es el siguiente,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8"/>
        <w:gridCol w:w="2496"/>
        <w:gridCol w:w="2496"/>
      </w:tblGrid>
      <w:tr w:rsidR="008C1526" w14:paraId="27A48445" w14:textId="77777777" w:rsidTr="00292F75">
        <w:trPr>
          <w:trHeight w:val="283"/>
          <w:jc w:val="center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5682469" w14:textId="77777777" w:rsidR="008C1526" w:rsidRDefault="008C1526" w:rsidP="00292F75">
            <w:pPr>
              <w:spacing w:after="0" w:line="240" w:lineRule="auto"/>
              <w:ind w:left="217"/>
              <w:jc w:val="center"/>
              <w:rPr>
                <w:color w:val="000000"/>
                <w:lang w:eastAsia="es-ES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749758A" w14:textId="77777777" w:rsidR="008C1526" w:rsidRDefault="008C1526" w:rsidP="00292F75">
            <w:pPr>
              <w:spacing w:after="0" w:line="240" w:lineRule="auto"/>
              <w:ind w:right="25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282ED4C0" w14:textId="77777777" w:rsidR="008C1526" w:rsidRDefault="008C1526" w:rsidP="00292F75">
            <w:pPr>
              <w:spacing w:after="0" w:line="240" w:lineRule="auto"/>
              <w:ind w:right="25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31/12/2022</w:t>
            </w:r>
          </w:p>
        </w:tc>
      </w:tr>
      <w:tr w:rsidR="008C1526" w14:paraId="4F52D5AE" w14:textId="77777777" w:rsidTr="00292F75">
        <w:trPr>
          <w:trHeight w:val="283"/>
          <w:jc w:val="center"/>
        </w:trPr>
        <w:tc>
          <w:tcPr>
            <w:tcW w:w="22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731F95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Reserva Legal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9322" w14:textId="77777777" w:rsidR="008C1526" w:rsidRDefault="008C1526" w:rsidP="00292F75">
            <w:pPr>
              <w:spacing w:after="0" w:line="240" w:lineRule="auto"/>
              <w:ind w:right="254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12.040,00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70DE" w14:textId="77777777" w:rsidR="008C1526" w:rsidRDefault="008C1526" w:rsidP="00292F75">
            <w:pPr>
              <w:spacing w:after="0" w:line="240" w:lineRule="auto"/>
              <w:ind w:right="254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12.040,00</w:t>
            </w:r>
          </w:p>
        </w:tc>
      </w:tr>
      <w:tr w:rsidR="008C1526" w14:paraId="7673F12B" w14:textId="77777777" w:rsidTr="00292F75">
        <w:trPr>
          <w:trHeight w:val="283"/>
          <w:jc w:val="center"/>
        </w:trPr>
        <w:tc>
          <w:tcPr>
            <w:tcW w:w="22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DC56AB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Reserva Voluntaria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5AB86" w14:textId="77777777" w:rsidR="008C1526" w:rsidRDefault="008C1526" w:rsidP="00292F75">
            <w:pPr>
              <w:spacing w:after="0" w:line="240" w:lineRule="auto"/>
              <w:ind w:right="254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(241.469,53)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1FF81" w14:textId="77777777" w:rsidR="008C1526" w:rsidRDefault="008C1526" w:rsidP="00292F75">
            <w:pPr>
              <w:spacing w:after="0" w:line="240" w:lineRule="auto"/>
              <w:ind w:right="254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(220.754,02)</w:t>
            </w:r>
          </w:p>
        </w:tc>
      </w:tr>
      <w:tr w:rsidR="008C1526" w14:paraId="1B30196A" w14:textId="77777777" w:rsidTr="00292F75">
        <w:trPr>
          <w:trHeight w:val="283"/>
          <w:jc w:val="center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8F801BF" w14:textId="77777777" w:rsidR="008C1526" w:rsidRDefault="008C1526" w:rsidP="00292F75">
            <w:pPr>
              <w:spacing w:after="0" w:line="240" w:lineRule="auto"/>
              <w:ind w:left="21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D67D16E" w14:textId="77777777" w:rsidR="008C1526" w:rsidRDefault="008C1526" w:rsidP="00292F75">
            <w:pPr>
              <w:spacing w:after="0" w:line="240" w:lineRule="auto"/>
              <w:ind w:right="254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(229.429,53)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DA4905" w14:textId="77777777" w:rsidR="008C1526" w:rsidRDefault="008C1526" w:rsidP="00292F75">
            <w:pPr>
              <w:spacing w:after="0" w:line="240" w:lineRule="auto"/>
              <w:ind w:right="254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(208.714,02)</w:t>
            </w:r>
          </w:p>
        </w:tc>
      </w:tr>
    </w:tbl>
    <w:p w14:paraId="1F4BADC2" w14:textId="77777777" w:rsidR="008C1526" w:rsidRPr="006D3126" w:rsidRDefault="008C1526" w:rsidP="008C1526">
      <w:pPr>
        <w:spacing w:before="240" w:after="120" w:line="280" w:lineRule="exact"/>
        <w:jc w:val="both"/>
        <w:rPr>
          <w:rFonts w:ascii="Arial" w:hAnsi="Arial" w:cs="Arial"/>
          <w:sz w:val="20"/>
          <w:szCs w:val="20"/>
        </w:rPr>
      </w:pPr>
      <w:r w:rsidRPr="00585899">
        <w:rPr>
          <w:rFonts w:ascii="Arial" w:hAnsi="Arial" w:cs="Arial"/>
          <w:sz w:val="20"/>
          <w:szCs w:val="20"/>
        </w:rPr>
        <w:t xml:space="preserve">Las cuentas anuales abreviadas del ejercicio 2023 incluyen ajustes realizados contra reservas por importe de 20.715,51 euros como consecuencia de regularizaciones con subvenciones </w:t>
      </w:r>
      <w:r w:rsidRPr="006D3126">
        <w:rPr>
          <w:rFonts w:ascii="Arial" w:hAnsi="Arial" w:cs="Arial"/>
          <w:sz w:val="20"/>
          <w:szCs w:val="20"/>
        </w:rPr>
        <w:t>principalmente.</w:t>
      </w:r>
    </w:p>
    <w:p w14:paraId="3555B26F" w14:textId="77777777" w:rsidR="008C1526" w:rsidRPr="006D3126" w:rsidRDefault="008C1526" w:rsidP="008C1526">
      <w:pPr>
        <w:pStyle w:val="Default"/>
        <w:autoSpaceDE/>
        <w:autoSpaceDN/>
        <w:adjustRightInd/>
        <w:spacing w:before="240" w:after="120" w:line="280" w:lineRule="exact"/>
        <w:jc w:val="both"/>
        <w:rPr>
          <w:color w:val="auto"/>
          <w:sz w:val="20"/>
          <w:szCs w:val="20"/>
          <w:lang w:eastAsia="es-ES"/>
        </w:rPr>
      </w:pPr>
      <w:r w:rsidRPr="006D3126">
        <w:rPr>
          <w:color w:val="auto"/>
          <w:sz w:val="20"/>
          <w:szCs w:val="20"/>
          <w:lang w:eastAsia="es-ES"/>
        </w:rPr>
        <w:lastRenderedPageBreak/>
        <w:t xml:space="preserve">En el ejercicio </w:t>
      </w:r>
      <w:r w:rsidRPr="00A24815">
        <w:rPr>
          <w:color w:val="auto"/>
          <w:sz w:val="20"/>
          <w:szCs w:val="20"/>
          <w:lang w:eastAsia="es-ES"/>
        </w:rPr>
        <w:t>2022 la Sociedad regularizó contra reservas voluntarias 142.106,32 euros, correspondientes a los importes de IGIC considerados</w:t>
      </w:r>
      <w:r w:rsidRPr="006D3126">
        <w:rPr>
          <w:color w:val="auto"/>
          <w:sz w:val="20"/>
          <w:szCs w:val="20"/>
          <w:lang w:eastAsia="es-ES"/>
        </w:rPr>
        <w:t xml:space="preserve"> como no deducibles en base a la regularización propuesta por la Agencia Tributaria Canaria para los ejercicios 2018 a 2021 </w:t>
      </w:r>
    </w:p>
    <w:p w14:paraId="33AB26B0" w14:textId="77777777" w:rsidR="008C1526" w:rsidRPr="00233A25" w:rsidRDefault="008C1526" w:rsidP="008C1526">
      <w:pPr>
        <w:pStyle w:val="CM23"/>
        <w:keepNext/>
        <w:keepLines/>
        <w:autoSpaceDE/>
        <w:autoSpaceDN/>
        <w:adjustRightInd/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4556B">
        <w:rPr>
          <w:rFonts w:ascii="Arial" w:hAnsi="Arial" w:cs="Arial"/>
          <w:b/>
          <w:bCs/>
          <w:sz w:val="20"/>
          <w:szCs w:val="20"/>
          <w:u w:val="single"/>
        </w:rPr>
        <w:t>Aportaciones de socios</w:t>
      </w:r>
    </w:p>
    <w:p w14:paraId="47F80A06" w14:textId="77777777" w:rsidR="008C1526" w:rsidRPr="00A24815" w:rsidRDefault="008C1526" w:rsidP="008C1526">
      <w:pPr>
        <w:pStyle w:val="CM23"/>
        <w:keepNext/>
        <w:keepLines/>
        <w:autoSpaceDE/>
        <w:autoSpaceDN/>
        <w:adjustRightInd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CD4029">
        <w:rPr>
          <w:rFonts w:ascii="Arial" w:hAnsi="Arial" w:cs="Arial"/>
          <w:sz w:val="20"/>
          <w:szCs w:val="20"/>
        </w:rPr>
        <w:t xml:space="preserve">A 31 de diciembre de 2023 las aportaciones del Socio Único ascienden a </w:t>
      </w:r>
      <w:r w:rsidRPr="00CD4029">
        <w:rPr>
          <w:rFonts w:ascii="Arial" w:hAnsi="Arial" w:cs="Arial"/>
          <w:b/>
          <w:bCs/>
          <w:sz w:val="20"/>
          <w:szCs w:val="20"/>
        </w:rPr>
        <w:t>1.977.303,78</w:t>
      </w:r>
      <w:r w:rsidRPr="00CD4029">
        <w:rPr>
          <w:rFonts w:ascii="Arial" w:hAnsi="Arial" w:cs="Arial"/>
          <w:sz w:val="20"/>
          <w:szCs w:val="20"/>
        </w:rPr>
        <w:t xml:space="preserve"> euros, para la </w:t>
      </w:r>
      <w:r w:rsidRPr="00A24815">
        <w:rPr>
          <w:rFonts w:ascii="Arial" w:hAnsi="Arial" w:cs="Arial"/>
          <w:sz w:val="20"/>
          <w:szCs w:val="20"/>
        </w:rPr>
        <w:t>financiación de algunos proyectos desarrollados por la Sociedad y para la financiación de gastos generales de la misma.</w:t>
      </w:r>
    </w:p>
    <w:p w14:paraId="11A56B17" w14:textId="77777777" w:rsidR="008C1526" w:rsidRPr="00A24815" w:rsidRDefault="008C1526" w:rsidP="008C1526">
      <w:pPr>
        <w:pStyle w:val="CM23"/>
        <w:keepNext/>
        <w:keepLines/>
        <w:autoSpaceDE/>
        <w:autoSpaceDN/>
        <w:adjustRightInd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En junio y octubre de 2023 se han aprobado las aportaciones de socio estimadas en 829.455,42 euros para el ejercicio 2022 y en 943.334,47 euros para el ejercicio 2023, pendientes de cobro.</w:t>
      </w:r>
    </w:p>
    <w:p w14:paraId="1209FBD8" w14:textId="77777777" w:rsidR="008C1526" w:rsidRPr="00A24815" w:rsidRDefault="008C1526" w:rsidP="008C1526">
      <w:pPr>
        <w:pStyle w:val="CM23"/>
        <w:keepNext/>
        <w:keepLines/>
        <w:widowControl/>
        <w:autoSpaceDE/>
        <w:autoSpaceDN/>
        <w:adjustRightInd/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A24815">
        <w:rPr>
          <w:rFonts w:ascii="Arial" w:hAnsi="Arial" w:cs="Arial"/>
          <w:b/>
          <w:bCs/>
          <w:sz w:val="20"/>
          <w:szCs w:val="20"/>
          <w:u w:val="single"/>
        </w:rPr>
        <w:t xml:space="preserve">Aplicación del resultado </w:t>
      </w:r>
    </w:p>
    <w:p w14:paraId="240F4092" w14:textId="77777777" w:rsidR="008C1526" w:rsidRPr="00B51ABC" w:rsidRDefault="008C1526" w:rsidP="008C1526">
      <w:pPr>
        <w:keepNext/>
        <w:keepLines/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A24815">
        <w:rPr>
          <w:rFonts w:ascii="Arial" w:hAnsi="Arial" w:cs="Arial"/>
          <w:sz w:val="20"/>
          <w:szCs w:val="20"/>
        </w:rPr>
        <w:t>La propuesta de distribución</w:t>
      </w:r>
      <w:r w:rsidRPr="00B51ABC">
        <w:rPr>
          <w:rFonts w:ascii="Arial" w:hAnsi="Arial" w:cs="Arial"/>
          <w:sz w:val="20"/>
          <w:szCs w:val="20"/>
        </w:rPr>
        <w:t xml:space="preserve"> del resultad</w:t>
      </w:r>
      <w:r>
        <w:rPr>
          <w:rFonts w:ascii="Arial" w:hAnsi="Arial" w:cs="Arial"/>
          <w:sz w:val="20"/>
          <w:szCs w:val="20"/>
        </w:rPr>
        <w:t>o del ejercicio 2023 y 2022</w:t>
      </w:r>
      <w:r w:rsidRPr="00B51ABC">
        <w:rPr>
          <w:rFonts w:ascii="Arial" w:hAnsi="Arial" w:cs="Arial"/>
          <w:sz w:val="20"/>
          <w:szCs w:val="20"/>
        </w:rPr>
        <w:t xml:space="preserve">, formulada por </w:t>
      </w:r>
      <w:r>
        <w:rPr>
          <w:rFonts w:ascii="Arial" w:hAnsi="Arial" w:cs="Arial"/>
          <w:sz w:val="20"/>
          <w:szCs w:val="20"/>
        </w:rPr>
        <w:t>el Consejo de Administración</w:t>
      </w:r>
      <w:r w:rsidRPr="00B51ABC">
        <w:rPr>
          <w:rFonts w:ascii="Arial" w:hAnsi="Arial" w:cs="Arial"/>
          <w:sz w:val="20"/>
          <w:szCs w:val="20"/>
        </w:rPr>
        <w:t>, es la que se muestra a continuación,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8"/>
        <w:gridCol w:w="1652"/>
        <w:gridCol w:w="1650"/>
      </w:tblGrid>
      <w:tr w:rsidR="008C1526" w14:paraId="5A057D7F" w14:textId="77777777" w:rsidTr="00292F75">
        <w:trPr>
          <w:trHeight w:val="283"/>
          <w:jc w:val="center"/>
        </w:trPr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82CF63B" w14:textId="77777777" w:rsidR="008C1526" w:rsidRDefault="008C1526" w:rsidP="00292F7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 de reparto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FEF236D" w14:textId="77777777" w:rsidR="008C1526" w:rsidRDefault="008C1526" w:rsidP="00292F7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42EFF50" w14:textId="77777777" w:rsidR="008C1526" w:rsidRDefault="008C1526" w:rsidP="00292F7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8C1526" w14:paraId="696126FF" w14:textId="77777777" w:rsidTr="00292F75">
        <w:trPr>
          <w:trHeight w:val="283"/>
          <w:jc w:val="center"/>
        </w:trPr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AC5E62" w14:textId="77777777" w:rsidR="008C1526" w:rsidRDefault="008C1526" w:rsidP="00292F75">
            <w:pPr>
              <w:keepNext/>
              <w:keepLines/>
              <w:spacing w:after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Resultado del ejercicio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DA8FF" w14:textId="77777777" w:rsidR="008C1526" w:rsidRDefault="008C1526" w:rsidP="00292F75">
            <w:pPr>
              <w:keepNext/>
              <w:keepLines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(391.307,10)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391ED8" w14:textId="77777777" w:rsidR="008C1526" w:rsidRDefault="008C1526" w:rsidP="00292F75">
            <w:pPr>
              <w:keepNext/>
              <w:keepLines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(480.100,53)</w:t>
            </w:r>
          </w:p>
        </w:tc>
      </w:tr>
      <w:tr w:rsidR="008C1526" w14:paraId="16116D00" w14:textId="77777777" w:rsidTr="00292F75">
        <w:trPr>
          <w:trHeight w:val="283"/>
          <w:jc w:val="center"/>
        </w:trPr>
        <w:tc>
          <w:tcPr>
            <w:tcW w:w="31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FF5E" w14:textId="77777777" w:rsidR="008C1526" w:rsidRDefault="008C1526" w:rsidP="00292F7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Distribución a: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EA737" w14:textId="77777777" w:rsidR="008C1526" w:rsidRDefault="008C1526" w:rsidP="00292F75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1E2A9" w14:textId="77777777" w:rsidR="008C1526" w:rsidRDefault="008C1526" w:rsidP="00292F75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526" w14:paraId="4D8CECDC" w14:textId="77777777" w:rsidTr="00292F75">
        <w:trPr>
          <w:trHeight w:val="283"/>
          <w:jc w:val="center"/>
        </w:trPr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8F595D" w14:textId="77777777" w:rsidR="008C1526" w:rsidRDefault="008C1526" w:rsidP="00292F75">
            <w:pPr>
              <w:keepNext/>
              <w:keepLines/>
              <w:spacing w:after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Resultados negativos de ejercicios anteriores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41FBF" w14:textId="77777777" w:rsidR="008C1526" w:rsidRDefault="008C1526" w:rsidP="00292F75">
            <w:pPr>
              <w:keepNext/>
              <w:keepLines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(391.307,10)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22CFDC" w14:textId="77777777" w:rsidR="008C1526" w:rsidRDefault="008C1526" w:rsidP="00292F75">
            <w:pPr>
              <w:keepNext/>
              <w:keepLines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(480.100,53)</w:t>
            </w:r>
          </w:p>
        </w:tc>
      </w:tr>
    </w:tbl>
    <w:p w14:paraId="6424141F" w14:textId="77777777" w:rsidR="004D42EF" w:rsidRPr="004D42EF" w:rsidRDefault="004D42EF" w:rsidP="004D42EF">
      <w:pPr>
        <w:pStyle w:val="Textoindependiente"/>
        <w:spacing w:before="9"/>
        <w:rPr>
          <w:rFonts w:cstheme="minorHAnsi"/>
          <w:sz w:val="18"/>
          <w:szCs w:val="18"/>
        </w:rPr>
      </w:pPr>
    </w:p>
    <w:sectPr w:rsidR="004D42EF" w:rsidRPr="004D42EF" w:rsidSect="008C152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24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F6B76" id="Rectángulo 2" o:spid="_x0000_s1026" style="position:absolute;margin-left:1.25pt;margin-top:19.3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A2338" id="Rectángulo 5" o:spid="_x0000_s1026" style="position:absolute;margin-left:.75pt;margin-top:30.65pt;width:594.75pt;height:11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8C1526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3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60288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312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C07"/>
    <w:rsid w:val="004D42EF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1526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C796C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5154"/>
    <w:rsid w:val="00BF44FA"/>
    <w:rsid w:val="00C01970"/>
    <w:rsid w:val="00C03FFB"/>
    <w:rsid w:val="00C068BE"/>
    <w:rsid w:val="00C06C39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26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8C1526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8C1526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1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4D42E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42E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2EF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D42EF"/>
  </w:style>
  <w:style w:type="paragraph" w:customStyle="1" w:styleId="Default">
    <w:name w:val="Default"/>
    <w:uiPriority w:val="99"/>
    <w:rsid w:val="008C15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customStyle="1" w:styleId="CM20">
    <w:name w:val="CM20"/>
    <w:basedOn w:val="Default"/>
    <w:next w:val="Default"/>
    <w:uiPriority w:val="99"/>
    <w:rsid w:val="008C1526"/>
    <w:pPr>
      <w:widowControl w:val="0"/>
      <w:spacing w:after="230"/>
    </w:pPr>
    <w:rPr>
      <w:rFonts w:ascii="Calibri" w:eastAsia="Times New Roman" w:hAnsi="Calibri" w:cs="Calibri"/>
      <w:color w:val="auto"/>
      <w:lang w:eastAsia="es-ES"/>
    </w:rPr>
  </w:style>
  <w:style w:type="paragraph" w:customStyle="1" w:styleId="CM23">
    <w:name w:val="CM23"/>
    <w:basedOn w:val="Default"/>
    <w:next w:val="Default"/>
    <w:uiPriority w:val="99"/>
    <w:rsid w:val="008C1526"/>
    <w:pPr>
      <w:widowControl w:val="0"/>
      <w:spacing w:after="465"/>
    </w:pPr>
    <w:rPr>
      <w:rFonts w:ascii="Calibri" w:eastAsia="Times New Roman" w:hAnsi="Calibri" w:cs="Calibri"/>
      <w:color w:val="auto"/>
      <w:lang w:eastAsia="es-ES"/>
    </w:rPr>
  </w:style>
  <w:style w:type="paragraph" w:customStyle="1" w:styleId="CM26">
    <w:name w:val="CM26"/>
    <w:basedOn w:val="Default"/>
    <w:next w:val="Default"/>
    <w:uiPriority w:val="99"/>
    <w:rsid w:val="008C1526"/>
    <w:pPr>
      <w:widowControl w:val="0"/>
      <w:spacing w:after="343"/>
    </w:pPr>
    <w:rPr>
      <w:rFonts w:ascii="Calibri" w:eastAsia="Times New Roman" w:hAnsi="Calibri" w:cs="Calibri"/>
      <w:color w:val="auto"/>
      <w:lang w:eastAsia="es-ES"/>
    </w:rPr>
  </w:style>
  <w:style w:type="paragraph" w:customStyle="1" w:styleId="CM25">
    <w:name w:val="CM25"/>
    <w:basedOn w:val="Default"/>
    <w:next w:val="Default"/>
    <w:uiPriority w:val="99"/>
    <w:rsid w:val="008C1526"/>
    <w:pPr>
      <w:widowControl w:val="0"/>
      <w:spacing w:after="555"/>
    </w:pPr>
    <w:rPr>
      <w:rFonts w:ascii="Calibri" w:eastAsia="Times New Roman" w:hAnsi="Calibri" w:cs="Calibri"/>
      <w:color w:va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53B05-2A56-499F-9376-F4D52A90F850}"/>
</file>

<file path=customXml/itemProps2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9DFB9-D16B-4B1F-93A4-BC1A3E5F8E69}"/>
</file>

<file path=customXml/itemProps4.xml><?xml version="1.0" encoding="utf-8"?>
<ds:datastoreItem xmlns:ds="http://schemas.openxmlformats.org/officeDocument/2006/customXml" ds:itemID="{464B8E68-7B00-45A2-9A0C-BB36C1061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1146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6</cp:revision>
  <cp:lastPrinted>2016-09-08T10:42:00Z</cp:lastPrinted>
  <dcterms:created xsi:type="dcterms:W3CDTF">2023-10-16T09:24:00Z</dcterms:created>
  <dcterms:modified xsi:type="dcterms:W3CDTF">2024-09-17T11:34:00Z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